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1714" w:rsidRDefault="008F79B6">
      <w:pPr>
        <w:rPr>
          <w:b/>
        </w:rPr>
      </w:pPr>
      <w:bookmarkStart w:id="0" w:name="_GoBack"/>
      <w:bookmarkEnd w:id="0"/>
      <w:r>
        <w:rPr>
          <w:b/>
          <w:u w:val="single"/>
        </w:rPr>
        <w:t>1.0</w:t>
      </w:r>
      <w:r>
        <w:rPr>
          <w:b/>
          <w:u w:val="single"/>
        </w:rPr>
        <w:tab/>
        <w:t>Program/Services Title:</w:t>
      </w:r>
      <w:r>
        <w:rPr>
          <w:b/>
        </w:rPr>
        <w:tab/>
      </w:r>
      <w:r>
        <w:rPr>
          <w:b/>
        </w:rPr>
        <w:tab/>
        <w:t>Medical Services/24 Hour/Residential Services</w:t>
      </w:r>
    </w:p>
    <w:p w:rsidR="008F79B6" w:rsidRDefault="008F79B6">
      <w:r>
        <w:rPr>
          <w:b/>
          <w:u w:val="single"/>
        </w:rPr>
        <w:t>1.</w:t>
      </w:r>
      <w:r w:rsidR="002D4E32">
        <w:rPr>
          <w:b/>
          <w:u w:val="single"/>
        </w:rPr>
        <w:t>1</w:t>
      </w:r>
      <w:r>
        <w:rPr>
          <w:b/>
          <w:u w:val="single"/>
        </w:rPr>
        <w:tab/>
        <w:t>Mission:</w:t>
      </w:r>
      <w:r>
        <w:rPr>
          <w:b/>
        </w:rPr>
        <w:t xml:space="preserve">  </w:t>
      </w:r>
      <w:r>
        <w:t>To provide quality behavioral healthcare, wellness and human development to the people we serve.</w:t>
      </w:r>
    </w:p>
    <w:p w:rsidR="008F79B6" w:rsidRDefault="008F79B6" w:rsidP="008F79B6">
      <w:pPr>
        <w:pStyle w:val="NoSpacing"/>
        <w:rPr>
          <w:b/>
          <w:u w:val="single"/>
        </w:rPr>
      </w:pPr>
      <w:r>
        <w:rPr>
          <w:b/>
          <w:u w:val="single"/>
        </w:rPr>
        <w:t>1.</w:t>
      </w:r>
      <w:r w:rsidR="002D4E32">
        <w:rPr>
          <w:b/>
          <w:u w:val="single"/>
        </w:rPr>
        <w:t>2</w:t>
      </w:r>
      <w:r>
        <w:rPr>
          <w:b/>
          <w:u w:val="single"/>
        </w:rPr>
        <w:tab/>
        <w:t>Service Description:  SUPERVISED GROUP HOMES</w:t>
      </w:r>
    </w:p>
    <w:p w:rsidR="008F79B6" w:rsidRDefault="008F79B6" w:rsidP="008F79B6">
      <w:pPr>
        <w:pStyle w:val="NoSpacing"/>
        <w:rPr>
          <w:b/>
          <w:u w:val="single"/>
        </w:rPr>
      </w:pPr>
    </w:p>
    <w:p w:rsidR="008F79B6" w:rsidRPr="002D4E32" w:rsidRDefault="003832D2" w:rsidP="008F79B6">
      <w:pPr>
        <w:pStyle w:val="NoSpacing"/>
      </w:pPr>
      <w:r>
        <w:t xml:space="preserve">24 Hour/Residential Services/ Group Homes provide a supportive home-like residential environment with 24 hour supervision, personal assistance, training in Activities of Daily Living, life safety training and a full range of psychosocial services for those suffering from serious and persistent mental illness and those with serious behavioral problems necessitating long-term care.  </w:t>
      </w:r>
      <w:r w:rsidRPr="002D4E32">
        <w:t xml:space="preserve">There are three group homes located in Terre Haute and one located in Indianapolis.  There </w:t>
      </w:r>
      <w:r w:rsidR="002D4E32">
        <w:t>are</w:t>
      </w:r>
      <w:r w:rsidRPr="002D4E32">
        <w:t xml:space="preserve"> co-ed group home</w:t>
      </w:r>
      <w:r w:rsidR="002D4E32">
        <w:t>s</w:t>
      </w:r>
      <w:r w:rsidRPr="002D4E32">
        <w:t xml:space="preserve"> in both Terre Haute and Indianapolis</w:t>
      </w:r>
      <w:r w:rsidR="00CE5114" w:rsidRPr="002D4E32">
        <w:t xml:space="preserve"> serving men and women with chronic mental illness.  </w:t>
      </w:r>
      <w:r w:rsidRPr="002D4E32">
        <w:t>Terre Haute also has a group home exclusively serving men with a chronic mental illness and another exclusively serving women with chronic mental illness.  All served are at least 18 years of age.</w:t>
      </w:r>
      <w:r w:rsidR="00CE5114" w:rsidRPr="002D4E32">
        <w:t xml:space="preserve"> </w:t>
      </w:r>
    </w:p>
    <w:p w:rsidR="003832D2" w:rsidRDefault="003832D2" w:rsidP="008F79B6">
      <w:pPr>
        <w:pStyle w:val="NoSpacing"/>
      </w:pPr>
    </w:p>
    <w:p w:rsidR="003832D2" w:rsidRDefault="002D4E32" w:rsidP="008F79B6">
      <w:pPr>
        <w:pStyle w:val="NoSpacing"/>
        <w:rPr>
          <w:b/>
          <w:u w:val="single"/>
        </w:rPr>
      </w:pPr>
      <w:r>
        <w:rPr>
          <w:b/>
          <w:u w:val="single"/>
        </w:rPr>
        <w:t>1.3</w:t>
      </w:r>
      <w:r w:rsidR="003832D2">
        <w:rPr>
          <w:b/>
          <w:u w:val="single"/>
        </w:rPr>
        <w:tab/>
        <w:t xml:space="preserve">Service </w:t>
      </w:r>
      <w:r w:rsidR="00E167E6">
        <w:rPr>
          <w:b/>
          <w:u w:val="single"/>
        </w:rPr>
        <w:t>Philosophy</w:t>
      </w:r>
    </w:p>
    <w:p w:rsidR="003832D2" w:rsidRDefault="003832D2" w:rsidP="008F79B6">
      <w:pPr>
        <w:pStyle w:val="NoSpacing"/>
        <w:rPr>
          <w:b/>
          <w:u w:val="single"/>
        </w:rPr>
      </w:pPr>
    </w:p>
    <w:p w:rsidR="003832D2" w:rsidRDefault="003832D2" w:rsidP="008F79B6">
      <w:pPr>
        <w:pStyle w:val="NoSpacing"/>
      </w:pPr>
      <w:r>
        <w:t>As identified by the staff:</w:t>
      </w:r>
    </w:p>
    <w:p w:rsidR="003832D2" w:rsidRDefault="003832D2" w:rsidP="003832D2">
      <w:pPr>
        <w:pStyle w:val="NoSpacing"/>
        <w:ind w:left="720"/>
      </w:pPr>
      <w:r>
        <w:t>We believe in the treatment of persons with serious and persistent mental illness in an authentic, least restrictive environment which is community-based and enhances societal integration.</w:t>
      </w:r>
    </w:p>
    <w:p w:rsidR="003832D2" w:rsidRDefault="003832D2" w:rsidP="003832D2">
      <w:pPr>
        <w:pStyle w:val="NoSpacing"/>
      </w:pPr>
    </w:p>
    <w:p w:rsidR="003832D2" w:rsidRDefault="002D4E32" w:rsidP="003832D2">
      <w:pPr>
        <w:pStyle w:val="NoSpacing"/>
        <w:rPr>
          <w:b/>
          <w:u w:val="single"/>
        </w:rPr>
      </w:pPr>
      <w:r>
        <w:rPr>
          <w:b/>
          <w:u w:val="single"/>
        </w:rPr>
        <w:t>1.4</w:t>
      </w:r>
      <w:r w:rsidR="003832D2">
        <w:rPr>
          <w:b/>
          <w:u w:val="single"/>
        </w:rPr>
        <w:tab/>
        <w:t>Group Home Admission/Continuing Care/Discharge Criteria:</w:t>
      </w:r>
    </w:p>
    <w:p w:rsidR="003832D2" w:rsidRDefault="003832D2" w:rsidP="003832D2">
      <w:pPr>
        <w:pStyle w:val="NoSpacing"/>
        <w:rPr>
          <w:b/>
          <w:u w:val="single"/>
        </w:rPr>
      </w:pPr>
    </w:p>
    <w:tbl>
      <w:tblPr>
        <w:tblStyle w:val="TableGrid"/>
        <w:tblW w:w="0" w:type="auto"/>
        <w:tblLook w:val="04A0" w:firstRow="1" w:lastRow="0" w:firstColumn="1" w:lastColumn="0" w:noHBand="0" w:noVBand="1"/>
      </w:tblPr>
      <w:tblGrid>
        <w:gridCol w:w="3111"/>
        <w:gridCol w:w="3117"/>
        <w:gridCol w:w="3122"/>
      </w:tblGrid>
      <w:tr w:rsidR="003832D2" w:rsidTr="003832D2">
        <w:tc>
          <w:tcPr>
            <w:tcW w:w="3192" w:type="dxa"/>
          </w:tcPr>
          <w:p w:rsidR="003832D2" w:rsidRDefault="003832D2" w:rsidP="003832D2">
            <w:pPr>
              <w:pStyle w:val="NoSpacing"/>
              <w:jc w:val="center"/>
              <w:rPr>
                <w:b/>
              </w:rPr>
            </w:pPr>
            <w:r>
              <w:rPr>
                <w:b/>
              </w:rPr>
              <w:t xml:space="preserve">Admission </w:t>
            </w:r>
          </w:p>
          <w:p w:rsidR="003832D2" w:rsidRPr="003832D2" w:rsidRDefault="003832D2" w:rsidP="003832D2">
            <w:pPr>
              <w:pStyle w:val="NoSpacing"/>
              <w:jc w:val="center"/>
              <w:rPr>
                <w:b/>
              </w:rPr>
            </w:pPr>
            <w:r>
              <w:rPr>
                <w:b/>
              </w:rPr>
              <w:t>Criteria</w:t>
            </w:r>
          </w:p>
        </w:tc>
        <w:tc>
          <w:tcPr>
            <w:tcW w:w="3192" w:type="dxa"/>
          </w:tcPr>
          <w:p w:rsidR="003832D2" w:rsidRDefault="003832D2" w:rsidP="003832D2">
            <w:pPr>
              <w:pStyle w:val="NoSpacing"/>
              <w:jc w:val="center"/>
              <w:rPr>
                <w:b/>
              </w:rPr>
            </w:pPr>
            <w:r>
              <w:rPr>
                <w:b/>
              </w:rPr>
              <w:t>Continuing Care</w:t>
            </w:r>
          </w:p>
          <w:p w:rsidR="003832D2" w:rsidRPr="003832D2" w:rsidRDefault="003832D2" w:rsidP="003832D2">
            <w:pPr>
              <w:pStyle w:val="NoSpacing"/>
              <w:jc w:val="center"/>
              <w:rPr>
                <w:b/>
              </w:rPr>
            </w:pPr>
            <w:r>
              <w:rPr>
                <w:b/>
              </w:rPr>
              <w:t>Criteria</w:t>
            </w:r>
          </w:p>
        </w:tc>
        <w:tc>
          <w:tcPr>
            <w:tcW w:w="3192" w:type="dxa"/>
          </w:tcPr>
          <w:p w:rsidR="003832D2" w:rsidRDefault="003832D2" w:rsidP="003832D2">
            <w:pPr>
              <w:pStyle w:val="NoSpacing"/>
              <w:jc w:val="center"/>
              <w:rPr>
                <w:b/>
              </w:rPr>
            </w:pPr>
            <w:r>
              <w:rPr>
                <w:b/>
              </w:rPr>
              <w:t>Discharge</w:t>
            </w:r>
          </w:p>
          <w:p w:rsidR="003832D2" w:rsidRPr="003832D2" w:rsidRDefault="003832D2" w:rsidP="003832D2">
            <w:pPr>
              <w:pStyle w:val="NoSpacing"/>
              <w:jc w:val="center"/>
              <w:rPr>
                <w:b/>
              </w:rPr>
            </w:pPr>
            <w:r>
              <w:rPr>
                <w:b/>
              </w:rPr>
              <w:t>Criteria</w:t>
            </w:r>
          </w:p>
        </w:tc>
      </w:tr>
      <w:tr w:rsidR="003832D2" w:rsidTr="003832D2">
        <w:tc>
          <w:tcPr>
            <w:tcW w:w="3192" w:type="dxa"/>
          </w:tcPr>
          <w:p w:rsidR="003832D2" w:rsidRPr="00E24A94" w:rsidRDefault="00E24A94" w:rsidP="003832D2">
            <w:pPr>
              <w:pStyle w:val="NoSpacing"/>
              <w:rPr>
                <w:sz w:val="20"/>
                <w:szCs w:val="20"/>
              </w:rPr>
            </w:pPr>
            <w:r w:rsidRPr="00E24A94">
              <w:rPr>
                <w:sz w:val="20"/>
                <w:szCs w:val="20"/>
              </w:rPr>
              <w:t>At least 18 years of age</w:t>
            </w:r>
          </w:p>
        </w:tc>
        <w:tc>
          <w:tcPr>
            <w:tcW w:w="3192" w:type="dxa"/>
          </w:tcPr>
          <w:p w:rsidR="003832D2" w:rsidRPr="00E24A94" w:rsidRDefault="00E24A94" w:rsidP="003832D2">
            <w:pPr>
              <w:pStyle w:val="NoSpacing"/>
              <w:rPr>
                <w:sz w:val="20"/>
                <w:szCs w:val="20"/>
              </w:rPr>
            </w:pPr>
            <w:r>
              <w:rPr>
                <w:sz w:val="20"/>
                <w:szCs w:val="20"/>
              </w:rPr>
              <w:t>Making progress on identified goals</w:t>
            </w:r>
          </w:p>
        </w:tc>
        <w:tc>
          <w:tcPr>
            <w:tcW w:w="3192" w:type="dxa"/>
          </w:tcPr>
          <w:p w:rsidR="003832D2" w:rsidRPr="00E24A94" w:rsidRDefault="00E24A94" w:rsidP="003832D2">
            <w:pPr>
              <w:pStyle w:val="NoSpacing"/>
              <w:rPr>
                <w:sz w:val="20"/>
                <w:szCs w:val="20"/>
              </w:rPr>
            </w:pPr>
            <w:r>
              <w:rPr>
                <w:sz w:val="20"/>
                <w:szCs w:val="20"/>
              </w:rPr>
              <w:t>Resident and treatment team feel that the resident has learned the necessary skills to move to a less restrictive environment</w:t>
            </w:r>
          </w:p>
        </w:tc>
      </w:tr>
      <w:tr w:rsidR="003832D2" w:rsidTr="003832D2">
        <w:tc>
          <w:tcPr>
            <w:tcW w:w="3192" w:type="dxa"/>
          </w:tcPr>
          <w:p w:rsidR="003832D2" w:rsidRPr="00CE5114" w:rsidRDefault="00E24A94" w:rsidP="002D4E32">
            <w:pPr>
              <w:pStyle w:val="NoSpacing"/>
              <w:rPr>
                <w:color w:val="FF0000"/>
                <w:sz w:val="20"/>
                <w:szCs w:val="20"/>
              </w:rPr>
            </w:pPr>
            <w:r>
              <w:rPr>
                <w:sz w:val="20"/>
                <w:szCs w:val="20"/>
              </w:rPr>
              <w:t>Have a functional impairment in thought, mood, and behavior</w:t>
            </w:r>
            <w:r w:rsidR="002D4E32">
              <w:rPr>
                <w:sz w:val="20"/>
                <w:szCs w:val="20"/>
              </w:rPr>
              <w:t>.  May also have a co-occurring substance abuse problem.</w:t>
            </w:r>
          </w:p>
        </w:tc>
        <w:tc>
          <w:tcPr>
            <w:tcW w:w="3192" w:type="dxa"/>
          </w:tcPr>
          <w:p w:rsidR="003832D2" w:rsidRPr="00E24A94" w:rsidRDefault="00E24A94" w:rsidP="003832D2">
            <w:pPr>
              <w:pStyle w:val="NoSpacing"/>
              <w:rPr>
                <w:sz w:val="20"/>
                <w:szCs w:val="20"/>
              </w:rPr>
            </w:pPr>
            <w:r>
              <w:rPr>
                <w:sz w:val="20"/>
                <w:szCs w:val="20"/>
              </w:rPr>
              <w:t>Necessary skills to live independently in the community have not be</w:t>
            </w:r>
            <w:r w:rsidR="00E167E6">
              <w:rPr>
                <w:sz w:val="20"/>
                <w:szCs w:val="20"/>
              </w:rPr>
              <w:t>en</w:t>
            </w:r>
            <w:r>
              <w:rPr>
                <w:sz w:val="20"/>
                <w:szCs w:val="20"/>
              </w:rPr>
              <w:t xml:space="preserve"> attained</w:t>
            </w:r>
          </w:p>
        </w:tc>
        <w:tc>
          <w:tcPr>
            <w:tcW w:w="3192" w:type="dxa"/>
          </w:tcPr>
          <w:p w:rsidR="003832D2" w:rsidRPr="00E24A94" w:rsidRDefault="00E24A94" w:rsidP="003832D2">
            <w:pPr>
              <w:pStyle w:val="NoSpacing"/>
              <w:rPr>
                <w:sz w:val="20"/>
                <w:szCs w:val="20"/>
              </w:rPr>
            </w:pPr>
            <w:r>
              <w:rPr>
                <w:sz w:val="20"/>
                <w:szCs w:val="20"/>
              </w:rPr>
              <w:t>Resident relocates to another community</w:t>
            </w:r>
          </w:p>
        </w:tc>
      </w:tr>
      <w:tr w:rsidR="003832D2" w:rsidTr="003832D2">
        <w:tc>
          <w:tcPr>
            <w:tcW w:w="3192" w:type="dxa"/>
          </w:tcPr>
          <w:p w:rsidR="003832D2" w:rsidRPr="00E24A94" w:rsidRDefault="00E24A94" w:rsidP="003832D2">
            <w:pPr>
              <w:pStyle w:val="NoSpacing"/>
              <w:rPr>
                <w:sz w:val="20"/>
                <w:szCs w:val="20"/>
              </w:rPr>
            </w:pPr>
            <w:r>
              <w:rPr>
                <w:sz w:val="20"/>
                <w:szCs w:val="20"/>
              </w:rPr>
              <w:t>Be admitted with the documented approval of the attending psychiatrist or judge</w:t>
            </w:r>
          </w:p>
        </w:tc>
        <w:tc>
          <w:tcPr>
            <w:tcW w:w="3192" w:type="dxa"/>
          </w:tcPr>
          <w:p w:rsidR="003832D2" w:rsidRPr="00E24A94" w:rsidRDefault="00E24A94" w:rsidP="00E24A94">
            <w:pPr>
              <w:pStyle w:val="NoSpacing"/>
              <w:rPr>
                <w:sz w:val="20"/>
                <w:szCs w:val="20"/>
              </w:rPr>
            </w:pPr>
            <w:r>
              <w:rPr>
                <w:sz w:val="20"/>
                <w:szCs w:val="20"/>
              </w:rPr>
              <w:t>Moving the resident to another less restrictive level of care would pose a threat to the resident or others</w:t>
            </w:r>
          </w:p>
        </w:tc>
        <w:tc>
          <w:tcPr>
            <w:tcW w:w="3192" w:type="dxa"/>
          </w:tcPr>
          <w:p w:rsidR="00E24A94" w:rsidRPr="00E24A94" w:rsidRDefault="00E24A94" w:rsidP="00CE5114">
            <w:pPr>
              <w:pStyle w:val="NoSpacing"/>
              <w:rPr>
                <w:sz w:val="20"/>
                <w:szCs w:val="20"/>
              </w:rPr>
            </w:pPr>
            <w:r>
              <w:rPr>
                <w:sz w:val="20"/>
                <w:szCs w:val="20"/>
              </w:rPr>
              <w:t xml:space="preserve">Resident chooses to leave the group home of </w:t>
            </w:r>
            <w:r w:rsidR="00CE5114">
              <w:rPr>
                <w:sz w:val="20"/>
                <w:szCs w:val="20"/>
              </w:rPr>
              <w:t>his/her</w:t>
            </w:r>
            <w:r>
              <w:rPr>
                <w:sz w:val="20"/>
                <w:szCs w:val="20"/>
              </w:rPr>
              <w:t xml:space="preserve"> own accord and is not considered a danger to self or others</w:t>
            </w:r>
          </w:p>
        </w:tc>
      </w:tr>
      <w:tr w:rsidR="003832D2" w:rsidTr="003832D2">
        <w:tc>
          <w:tcPr>
            <w:tcW w:w="3192" w:type="dxa"/>
          </w:tcPr>
          <w:p w:rsidR="003832D2" w:rsidRPr="00E24A94" w:rsidRDefault="00E24A94" w:rsidP="00E24A94">
            <w:pPr>
              <w:pStyle w:val="NoSpacing"/>
              <w:rPr>
                <w:sz w:val="20"/>
                <w:szCs w:val="20"/>
              </w:rPr>
            </w:pPr>
            <w:r>
              <w:rPr>
                <w:sz w:val="20"/>
                <w:szCs w:val="20"/>
              </w:rPr>
              <w:t>Have a psychiatric disturbance which is considered treatable in the group home</w:t>
            </w:r>
          </w:p>
        </w:tc>
        <w:tc>
          <w:tcPr>
            <w:tcW w:w="3192" w:type="dxa"/>
          </w:tcPr>
          <w:p w:rsidR="003832D2" w:rsidRPr="00E24A94" w:rsidRDefault="00E24A94" w:rsidP="003832D2">
            <w:pPr>
              <w:pStyle w:val="NoSpacing"/>
              <w:rPr>
                <w:sz w:val="20"/>
                <w:szCs w:val="20"/>
              </w:rPr>
            </w:pPr>
            <w:r>
              <w:rPr>
                <w:sz w:val="20"/>
                <w:szCs w:val="20"/>
              </w:rPr>
              <w:t>Resident needs a structured environment in order to maintain an optimal level of functioning</w:t>
            </w:r>
          </w:p>
        </w:tc>
        <w:tc>
          <w:tcPr>
            <w:tcW w:w="3192" w:type="dxa"/>
          </w:tcPr>
          <w:p w:rsidR="003832D2" w:rsidRPr="00E24A94" w:rsidRDefault="00E24A94" w:rsidP="003832D2">
            <w:pPr>
              <w:pStyle w:val="NoSpacing"/>
              <w:rPr>
                <w:sz w:val="20"/>
                <w:szCs w:val="20"/>
              </w:rPr>
            </w:pPr>
            <w:r>
              <w:rPr>
                <w:sz w:val="20"/>
                <w:szCs w:val="20"/>
              </w:rPr>
              <w:t>Resident decompensates and requires longer term care or more intensive care</w:t>
            </w:r>
          </w:p>
        </w:tc>
      </w:tr>
      <w:tr w:rsidR="003832D2" w:rsidTr="003832D2">
        <w:tc>
          <w:tcPr>
            <w:tcW w:w="3192" w:type="dxa"/>
          </w:tcPr>
          <w:p w:rsidR="003832D2" w:rsidRPr="00E24A94" w:rsidRDefault="00E24A94" w:rsidP="003832D2">
            <w:pPr>
              <w:pStyle w:val="NoSpacing"/>
              <w:rPr>
                <w:sz w:val="20"/>
                <w:szCs w:val="20"/>
              </w:rPr>
            </w:pPr>
            <w:r>
              <w:rPr>
                <w:sz w:val="20"/>
                <w:szCs w:val="20"/>
              </w:rPr>
              <w:t>Not currently intoxicated on substances</w:t>
            </w:r>
          </w:p>
        </w:tc>
        <w:tc>
          <w:tcPr>
            <w:tcW w:w="3192" w:type="dxa"/>
          </w:tcPr>
          <w:p w:rsidR="003832D2" w:rsidRPr="00E24A94" w:rsidRDefault="003832D2" w:rsidP="003832D2">
            <w:pPr>
              <w:pStyle w:val="NoSpacing"/>
              <w:rPr>
                <w:sz w:val="20"/>
                <w:szCs w:val="20"/>
              </w:rPr>
            </w:pPr>
          </w:p>
        </w:tc>
        <w:tc>
          <w:tcPr>
            <w:tcW w:w="3192" w:type="dxa"/>
          </w:tcPr>
          <w:p w:rsidR="003832D2" w:rsidRPr="00E24A94" w:rsidRDefault="003832D2" w:rsidP="003832D2">
            <w:pPr>
              <w:pStyle w:val="NoSpacing"/>
              <w:rPr>
                <w:sz w:val="20"/>
                <w:szCs w:val="20"/>
              </w:rPr>
            </w:pPr>
          </w:p>
        </w:tc>
      </w:tr>
      <w:tr w:rsidR="003832D2" w:rsidTr="003832D2">
        <w:tc>
          <w:tcPr>
            <w:tcW w:w="3192" w:type="dxa"/>
          </w:tcPr>
          <w:p w:rsidR="003832D2" w:rsidRPr="00E24A94" w:rsidRDefault="00E24A94" w:rsidP="003832D2">
            <w:pPr>
              <w:pStyle w:val="NoSpacing"/>
              <w:rPr>
                <w:sz w:val="20"/>
                <w:szCs w:val="20"/>
              </w:rPr>
            </w:pPr>
            <w:r>
              <w:rPr>
                <w:sz w:val="20"/>
                <w:szCs w:val="20"/>
              </w:rPr>
              <w:t>Expressing no suicidal or homicidal ideation or behaviors which would endanger self or others</w:t>
            </w:r>
          </w:p>
        </w:tc>
        <w:tc>
          <w:tcPr>
            <w:tcW w:w="3192" w:type="dxa"/>
          </w:tcPr>
          <w:p w:rsidR="003832D2" w:rsidRPr="00E24A94" w:rsidRDefault="003832D2" w:rsidP="003832D2">
            <w:pPr>
              <w:pStyle w:val="NoSpacing"/>
              <w:rPr>
                <w:sz w:val="20"/>
                <w:szCs w:val="20"/>
              </w:rPr>
            </w:pPr>
          </w:p>
        </w:tc>
        <w:tc>
          <w:tcPr>
            <w:tcW w:w="3192" w:type="dxa"/>
          </w:tcPr>
          <w:p w:rsidR="003832D2" w:rsidRPr="00E24A94" w:rsidRDefault="003832D2" w:rsidP="003832D2">
            <w:pPr>
              <w:pStyle w:val="NoSpacing"/>
              <w:rPr>
                <w:sz w:val="20"/>
                <w:szCs w:val="20"/>
              </w:rPr>
            </w:pPr>
          </w:p>
        </w:tc>
      </w:tr>
      <w:tr w:rsidR="003832D2" w:rsidTr="003832D2">
        <w:tc>
          <w:tcPr>
            <w:tcW w:w="3192" w:type="dxa"/>
          </w:tcPr>
          <w:p w:rsidR="003832D2" w:rsidRPr="00CE5114" w:rsidRDefault="00E24A94" w:rsidP="003D55D1">
            <w:pPr>
              <w:pStyle w:val="NoSpacing"/>
              <w:rPr>
                <w:color w:val="FF0000"/>
                <w:sz w:val="20"/>
                <w:szCs w:val="20"/>
              </w:rPr>
            </w:pPr>
            <w:r>
              <w:rPr>
                <w:sz w:val="20"/>
                <w:szCs w:val="20"/>
              </w:rPr>
              <w:t xml:space="preserve">Has a mental illness that should not be so severe as </w:t>
            </w:r>
            <w:r w:rsidRPr="002D4E32">
              <w:rPr>
                <w:sz w:val="20"/>
                <w:szCs w:val="20"/>
              </w:rPr>
              <w:t xml:space="preserve">to </w:t>
            </w:r>
            <w:r w:rsidR="00CE5114" w:rsidRPr="002D4E32">
              <w:rPr>
                <w:sz w:val="20"/>
                <w:szCs w:val="20"/>
              </w:rPr>
              <w:t>interfere with maintaining a therapeutic milieu for the other residents</w:t>
            </w:r>
          </w:p>
        </w:tc>
        <w:tc>
          <w:tcPr>
            <w:tcW w:w="3192" w:type="dxa"/>
          </w:tcPr>
          <w:p w:rsidR="003832D2" w:rsidRPr="00E24A94" w:rsidRDefault="003832D2" w:rsidP="003832D2">
            <w:pPr>
              <w:pStyle w:val="NoSpacing"/>
              <w:rPr>
                <w:sz w:val="20"/>
                <w:szCs w:val="20"/>
              </w:rPr>
            </w:pPr>
          </w:p>
        </w:tc>
        <w:tc>
          <w:tcPr>
            <w:tcW w:w="3192" w:type="dxa"/>
          </w:tcPr>
          <w:p w:rsidR="003832D2" w:rsidRPr="00E24A94" w:rsidRDefault="003832D2" w:rsidP="003832D2">
            <w:pPr>
              <w:pStyle w:val="NoSpacing"/>
              <w:rPr>
                <w:sz w:val="20"/>
                <w:szCs w:val="20"/>
              </w:rPr>
            </w:pPr>
          </w:p>
        </w:tc>
      </w:tr>
      <w:tr w:rsidR="00E24A94" w:rsidTr="003832D2">
        <w:tc>
          <w:tcPr>
            <w:tcW w:w="3192" w:type="dxa"/>
          </w:tcPr>
          <w:p w:rsidR="00E24A94" w:rsidRDefault="00CE5114" w:rsidP="003832D2">
            <w:pPr>
              <w:pStyle w:val="NoSpacing"/>
              <w:rPr>
                <w:sz w:val="20"/>
                <w:szCs w:val="20"/>
              </w:rPr>
            </w:pPr>
            <w:r>
              <w:rPr>
                <w:sz w:val="20"/>
                <w:szCs w:val="20"/>
              </w:rPr>
              <w:t>Not be enrolled in a public or private educational system</w:t>
            </w:r>
          </w:p>
        </w:tc>
        <w:tc>
          <w:tcPr>
            <w:tcW w:w="3192" w:type="dxa"/>
          </w:tcPr>
          <w:p w:rsidR="00E24A94" w:rsidRPr="00E24A94" w:rsidRDefault="00E24A94" w:rsidP="003832D2">
            <w:pPr>
              <w:pStyle w:val="NoSpacing"/>
              <w:rPr>
                <w:sz w:val="20"/>
                <w:szCs w:val="20"/>
              </w:rPr>
            </w:pPr>
          </w:p>
        </w:tc>
        <w:tc>
          <w:tcPr>
            <w:tcW w:w="3192" w:type="dxa"/>
          </w:tcPr>
          <w:p w:rsidR="00E24A94" w:rsidRPr="00E24A94" w:rsidRDefault="00E24A94" w:rsidP="003832D2">
            <w:pPr>
              <w:pStyle w:val="NoSpacing"/>
              <w:rPr>
                <w:sz w:val="20"/>
                <w:szCs w:val="20"/>
              </w:rPr>
            </w:pPr>
          </w:p>
        </w:tc>
      </w:tr>
      <w:tr w:rsidR="00E24A94" w:rsidTr="003832D2">
        <w:tc>
          <w:tcPr>
            <w:tcW w:w="3192" w:type="dxa"/>
          </w:tcPr>
          <w:p w:rsidR="00E24A94" w:rsidRPr="00CE5114" w:rsidRDefault="00CE5114" w:rsidP="002D4E32">
            <w:pPr>
              <w:pStyle w:val="NoSpacing"/>
              <w:rPr>
                <w:color w:val="FF0000"/>
                <w:sz w:val="20"/>
                <w:szCs w:val="20"/>
              </w:rPr>
            </w:pPr>
            <w:r>
              <w:rPr>
                <w:sz w:val="20"/>
                <w:szCs w:val="20"/>
              </w:rPr>
              <w:t>Physical condition must be manageable</w:t>
            </w:r>
          </w:p>
        </w:tc>
        <w:tc>
          <w:tcPr>
            <w:tcW w:w="3192" w:type="dxa"/>
          </w:tcPr>
          <w:p w:rsidR="00E24A94" w:rsidRPr="00E24A94" w:rsidRDefault="00E24A94" w:rsidP="003832D2">
            <w:pPr>
              <w:pStyle w:val="NoSpacing"/>
              <w:rPr>
                <w:sz w:val="20"/>
                <w:szCs w:val="20"/>
              </w:rPr>
            </w:pPr>
          </w:p>
        </w:tc>
        <w:tc>
          <w:tcPr>
            <w:tcW w:w="3192" w:type="dxa"/>
          </w:tcPr>
          <w:p w:rsidR="00E24A94" w:rsidRPr="00E24A94" w:rsidRDefault="00E24A94" w:rsidP="003832D2">
            <w:pPr>
              <w:pStyle w:val="NoSpacing"/>
              <w:rPr>
                <w:sz w:val="20"/>
                <w:szCs w:val="20"/>
              </w:rPr>
            </w:pPr>
          </w:p>
        </w:tc>
      </w:tr>
    </w:tbl>
    <w:p w:rsidR="003832D2" w:rsidRDefault="003832D2" w:rsidP="003832D2">
      <w:pPr>
        <w:pStyle w:val="NoSpacing"/>
        <w:rPr>
          <w:b/>
          <w:u w:val="single"/>
        </w:rPr>
      </w:pPr>
    </w:p>
    <w:p w:rsidR="002D4E32" w:rsidRDefault="002D4E32" w:rsidP="003832D2">
      <w:pPr>
        <w:pStyle w:val="NoSpacing"/>
        <w:rPr>
          <w:b/>
          <w:u w:val="single"/>
        </w:rPr>
      </w:pPr>
    </w:p>
    <w:p w:rsidR="002D4E32" w:rsidRDefault="002D4E32" w:rsidP="002D4E32">
      <w:pPr>
        <w:pStyle w:val="NoSpacing"/>
        <w:rPr>
          <w:b/>
          <w:u w:val="single"/>
        </w:rPr>
      </w:pPr>
      <w:r>
        <w:rPr>
          <w:b/>
          <w:u w:val="single"/>
        </w:rPr>
        <w:lastRenderedPageBreak/>
        <w:t>1.5</w:t>
      </w:r>
      <w:r>
        <w:rPr>
          <w:b/>
          <w:u w:val="single"/>
        </w:rPr>
        <w:tab/>
        <w:t>Service Description:  SUB-ACUTE FACILITY</w:t>
      </w:r>
    </w:p>
    <w:p w:rsidR="002D4E32" w:rsidRDefault="002D4E32" w:rsidP="002D4E32">
      <w:pPr>
        <w:pStyle w:val="NoSpacing"/>
        <w:rPr>
          <w:b/>
          <w:u w:val="single"/>
        </w:rPr>
      </w:pPr>
    </w:p>
    <w:p w:rsidR="002D4E32" w:rsidRDefault="002D4E32" w:rsidP="002D4E32">
      <w:pPr>
        <w:pStyle w:val="NoSpacing"/>
      </w:pPr>
      <w:r>
        <w:t>Sub-Acute is a locked, residential facility that is less restrictive than an in-patient psychiatric unit</w:t>
      </w:r>
      <w:r w:rsidR="003D55D1">
        <w:t>.  Twenty-four (24) hour supervision is provided.  It can serve up to fifteen (15) men and/or women, in total.  Services are provided as post psychiatric hospitalization intervention or as an alternative to hospitalization.  Services provided include personal assistance, training in Activities of Daily Living (ADLs), life safety training and a full range of psychosocial services for those in an acute stage of his/her mental illness.</w:t>
      </w:r>
    </w:p>
    <w:p w:rsidR="003D55D1" w:rsidRDefault="003D55D1" w:rsidP="002D4E32">
      <w:pPr>
        <w:pStyle w:val="NoSpacing"/>
      </w:pPr>
    </w:p>
    <w:p w:rsidR="003D55D1" w:rsidRDefault="003D55D1" w:rsidP="003D55D1">
      <w:pPr>
        <w:pStyle w:val="NoSpacing"/>
        <w:rPr>
          <w:b/>
          <w:u w:val="single"/>
        </w:rPr>
      </w:pPr>
      <w:r>
        <w:rPr>
          <w:b/>
          <w:u w:val="single"/>
        </w:rPr>
        <w:t>1.6</w:t>
      </w:r>
      <w:r>
        <w:rPr>
          <w:b/>
          <w:u w:val="single"/>
        </w:rPr>
        <w:tab/>
        <w:t>Sub-Acute Admission/Continuing Care/Discharge Criteria:</w:t>
      </w:r>
    </w:p>
    <w:p w:rsidR="003D55D1" w:rsidRPr="002D4E32" w:rsidRDefault="003D55D1" w:rsidP="002D4E32">
      <w:pPr>
        <w:pStyle w:val="NoSpacing"/>
      </w:pPr>
    </w:p>
    <w:tbl>
      <w:tblPr>
        <w:tblStyle w:val="TableGrid"/>
        <w:tblW w:w="0" w:type="auto"/>
        <w:tblLook w:val="04A0" w:firstRow="1" w:lastRow="0" w:firstColumn="1" w:lastColumn="0" w:noHBand="0" w:noVBand="1"/>
      </w:tblPr>
      <w:tblGrid>
        <w:gridCol w:w="3111"/>
        <w:gridCol w:w="3117"/>
        <w:gridCol w:w="3122"/>
      </w:tblGrid>
      <w:tr w:rsidR="003D55D1" w:rsidTr="00107DC1">
        <w:tc>
          <w:tcPr>
            <w:tcW w:w="3192" w:type="dxa"/>
          </w:tcPr>
          <w:p w:rsidR="003D55D1" w:rsidRDefault="003D55D1" w:rsidP="00107DC1">
            <w:pPr>
              <w:pStyle w:val="NoSpacing"/>
              <w:jc w:val="center"/>
              <w:rPr>
                <w:b/>
              </w:rPr>
            </w:pPr>
            <w:r>
              <w:rPr>
                <w:b/>
              </w:rPr>
              <w:t xml:space="preserve">Admission </w:t>
            </w:r>
          </w:p>
          <w:p w:rsidR="003D55D1" w:rsidRPr="003832D2" w:rsidRDefault="003D55D1" w:rsidP="00107DC1">
            <w:pPr>
              <w:pStyle w:val="NoSpacing"/>
              <w:jc w:val="center"/>
              <w:rPr>
                <w:b/>
              </w:rPr>
            </w:pPr>
            <w:r>
              <w:rPr>
                <w:b/>
              </w:rPr>
              <w:t>Criteria</w:t>
            </w:r>
          </w:p>
        </w:tc>
        <w:tc>
          <w:tcPr>
            <w:tcW w:w="3192" w:type="dxa"/>
          </w:tcPr>
          <w:p w:rsidR="003D55D1" w:rsidRDefault="003D55D1" w:rsidP="00107DC1">
            <w:pPr>
              <w:pStyle w:val="NoSpacing"/>
              <w:jc w:val="center"/>
              <w:rPr>
                <w:b/>
              </w:rPr>
            </w:pPr>
            <w:r>
              <w:rPr>
                <w:b/>
              </w:rPr>
              <w:t>Continuing Care</w:t>
            </w:r>
          </w:p>
          <w:p w:rsidR="003D55D1" w:rsidRPr="003832D2" w:rsidRDefault="003D55D1" w:rsidP="00107DC1">
            <w:pPr>
              <w:pStyle w:val="NoSpacing"/>
              <w:jc w:val="center"/>
              <w:rPr>
                <w:b/>
              </w:rPr>
            </w:pPr>
            <w:r>
              <w:rPr>
                <w:b/>
              </w:rPr>
              <w:t>Criteria</w:t>
            </w:r>
          </w:p>
        </w:tc>
        <w:tc>
          <w:tcPr>
            <w:tcW w:w="3192" w:type="dxa"/>
          </w:tcPr>
          <w:p w:rsidR="003D55D1" w:rsidRDefault="003D55D1" w:rsidP="00107DC1">
            <w:pPr>
              <w:pStyle w:val="NoSpacing"/>
              <w:jc w:val="center"/>
              <w:rPr>
                <w:b/>
              </w:rPr>
            </w:pPr>
            <w:r>
              <w:rPr>
                <w:b/>
              </w:rPr>
              <w:t>Discharge</w:t>
            </w:r>
          </w:p>
          <w:p w:rsidR="003D55D1" w:rsidRPr="003832D2" w:rsidRDefault="003D55D1" w:rsidP="00107DC1">
            <w:pPr>
              <w:pStyle w:val="NoSpacing"/>
              <w:jc w:val="center"/>
              <w:rPr>
                <w:b/>
              </w:rPr>
            </w:pPr>
            <w:r>
              <w:rPr>
                <w:b/>
              </w:rPr>
              <w:t>Criteria</w:t>
            </w:r>
          </w:p>
        </w:tc>
      </w:tr>
      <w:tr w:rsidR="003D55D1" w:rsidTr="00107DC1">
        <w:tc>
          <w:tcPr>
            <w:tcW w:w="3192" w:type="dxa"/>
          </w:tcPr>
          <w:p w:rsidR="003D55D1" w:rsidRPr="00E24A94" w:rsidRDefault="003D55D1" w:rsidP="00107DC1">
            <w:pPr>
              <w:pStyle w:val="NoSpacing"/>
              <w:rPr>
                <w:sz w:val="20"/>
                <w:szCs w:val="20"/>
              </w:rPr>
            </w:pPr>
            <w:r w:rsidRPr="00E24A94">
              <w:rPr>
                <w:sz w:val="20"/>
                <w:szCs w:val="20"/>
              </w:rPr>
              <w:t>At least 18 years of age</w:t>
            </w:r>
          </w:p>
        </w:tc>
        <w:tc>
          <w:tcPr>
            <w:tcW w:w="3192" w:type="dxa"/>
          </w:tcPr>
          <w:p w:rsidR="003D55D1" w:rsidRPr="00E24A94" w:rsidRDefault="003D55D1" w:rsidP="00107DC1">
            <w:pPr>
              <w:pStyle w:val="NoSpacing"/>
              <w:rPr>
                <w:sz w:val="20"/>
                <w:szCs w:val="20"/>
              </w:rPr>
            </w:pPr>
            <w:r>
              <w:rPr>
                <w:sz w:val="20"/>
                <w:szCs w:val="20"/>
              </w:rPr>
              <w:t>Making progress on identified goals</w:t>
            </w:r>
          </w:p>
        </w:tc>
        <w:tc>
          <w:tcPr>
            <w:tcW w:w="3192" w:type="dxa"/>
          </w:tcPr>
          <w:p w:rsidR="003D55D1" w:rsidRPr="00E24A94" w:rsidRDefault="003D55D1" w:rsidP="00107DC1">
            <w:pPr>
              <w:pStyle w:val="NoSpacing"/>
              <w:rPr>
                <w:sz w:val="20"/>
                <w:szCs w:val="20"/>
              </w:rPr>
            </w:pPr>
            <w:r>
              <w:rPr>
                <w:sz w:val="20"/>
                <w:szCs w:val="20"/>
              </w:rPr>
              <w:t>Resident and treatment team feel that the resident’s illness has stabilized and that resident has learned the necessary skills to move to a less restrictive environment</w:t>
            </w:r>
          </w:p>
        </w:tc>
      </w:tr>
      <w:tr w:rsidR="003D55D1" w:rsidTr="00107DC1">
        <w:tc>
          <w:tcPr>
            <w:tcW w:w="3192" w:type="dxa"/>
          </w:tcPr>
          <w:p w:rsidR="003D55D1" w:rsidRPr="00CE5114" w:rsidRDefault="003D55D1" w:rsidP="00107DC1">
            <w:pPr>
              <w:pStyle w:val="NoSpacing"/>
              <w:rPr>
                <w:color w:val="FF0000"/>
                <w:sz w:val="20"/>
                <w:szCs w:val="20"/>
              </w:rPr>
            </w:pPr>
            <w:r>
              <w:rPr>
                <w:sz w:val="20"/>
                <w:szCs w:val="20"/>
              </w:rPr>
              <w:t>Have a functional impairment in thought, mood, and behavior.  May also have a co-occurring substance abuse problem.</w:t>
            </w:r>
          </w:p>
        </w:tc>
        <w:tc>
          <w:tcPr>
            <w:tcW w:w="3192" w:type="dxa"/>
          </w:tcPr>
          <w:p w:rsidR="003D55D1" w:rsidRPr="00E24A94" w:rsidRDefault="003D55D1" w:rsidP="00107DC1">
            <w:pPr>
              <w:pStyle w:val="NoSpacing"/>
              <w:rPr>
                <w:sz w:val="20"/>
                <w:szCs w:val="20"/>
              </w:rPr>
            </w:pPr>
            <w:r>
              <w:rPr>
                <w:sz w:val="20"/>
                <w:szCs w:val="20"/>
              </w:rPr>
              <w:t>Necessary skills to live independently in the community have not be</w:t>
            </w:r>
            <w:r w:rsidR="00E167E6">
              <w:rPr>
                <w:sz w:val="20"/>
                <w:szCs w:val="20"/>
              </w:rPr>
              <w:t>en</w:t>
            </w:r>
            <w:r>
              <w:rPr>
                <w:sz w:val="20"/>
                <w:szCs w:val="20"/>
              </w:rPr>
              <w:t xml:space="preserve"> attained</w:t>
            </w:r>
          </w:p>
        </w:tc>
        <w:tc>
          <w:tcPr>
            <w:tcW w:w="3192" w:type="dxa"/>
          </w:tcPr>
          <w:p w:rsidR="003D55D1" w:rsidRPr="00E24A94" w:rsidRDefault="003D55D1" w:rsidP="003D55D1">
            <w:pPr>
              <w:pStyle w:val="NoSpacing"/>
              <w:rPr>
                <w:sz w:val="20"/>
                <w:szCs w:val="20"/>
              </w:rPr>
            </w:pPr>
            <w:r>
              <w:rPr>
                <w:sz w:val="20"/>
                <w:szCs w:val="20"/>
              </w:rPr>
              <w:t>Resident decompensates and requires longer term care or more intensive care</w:t>
            </w:r>
          </w:p>
        </w:tc>
      </w:tr>
      <w:tr w:rsidR="003D55D1" w:rsidTr="00107DC1">
        <w:tc>
          <w:tcPr>
            <w:tcW w:w="3192" w:type="dxa"/>
          </w:tcPr>
          <w:p w:rsidR="003D55D1" w:rsidRPr="00E24A94" w:rsidRDefault="003D55D1" w:rsidP="00107DC1">
            <w:pPr>
              <w:pStyle w:val="NoSpacing"/>
              <w:rPr>
                <w:sz w:val="20"/>
                <w:szCs w:val="20"/>
              </w:rPr>
            </w:pPr>
            <w:r>
              <w:rPr>
                <w:sz w:val="20"/>
                <w:szCs w:val="20"/>
              </w:rPr>
              <w:t>Be admitted with the documented approval of the attending psychiatrist or judge</w:t>
            </w:r>
          </w:p>
        </w:tc>
        <w:tc>
          <w:tcPr>
            <w:tcW w:w="3192" w:type="dxa"/>
          </w:tcPr>
          <w:p w:rsidR="003D55D1" w:rsidRPr="00E24A94" w:rsidRDefault="003D55D1" w:rsidP="00107DC1">
            <w:pPr>
              <w:pStyle w:val="NoSpacing"/>
              <w:rPr>
                <w:sz w:val="20"/>
                <w:szCs w:val="20"/>
              </w:rPr>
            </w:pPr>
            <w:r>
              <w:rPr>
                <w:sz w:val="20"/>
                <w:szCs w:val="20"/>
              </w:rPr>
              <w:t>Moving the resident to another less restrictive level of care would pose a threat to the resident or others</w:t>
            </w:r>
          </w:p>
        </w:tc>
        <w:tc>
          <w:tcPr>
            <w:tcW w:w="3192" w:type="dxa"/>
          </w:tcPr>
          <w:p w:rsidR="003D55D1" w:rsidRPr="00E24A94" w:rsidRDefault="003D55D1" w:rsidP="00107DC1">
            <w:pPr>
              <w:pStyle w:val="NoSpacing"/>
              <w:rPr>
                <w:sz w:val="20"/>
                <w:szCs w:val="20"/>
              </w:rPr>
            </w:pPr>
          </w:p>
        </w:tc>
      </w:tr>
      <w:tr w:rsidR="003D55D1" w:rsidTr="00107DC1">
        <w:tc>
          <w:tcPr>
            <w:tcW w:w="3192" w:type="dxa"/>
          </w:tcPr>
          <w:p w:rsidR="003D55D1" w:rsidRPr="00E24A94" w:rsidRDefault="003D55D1" w:rsidP="003D55D1">
            <w:pPr>
              <w:pStyle w:val="NoSpacing"/>
              <w:rPr>
                <w:sz w:val="20"/>
                <w:szCs w:val="20"/>
              </w:rPr>
            </w:pPr>
            <w:r>
              <w:rPr>
                <w:sz w:val="20"/>
                <w:szCs w:val="20"/>
              </w:rPr>
              <w:t>Have a psychiatric disturbance which is considered treatable in the sub-acute setting</w:t>
            </w:r>
          </w:p>
        </w:tc>
        <w:tc>
          <w:tcPr>
            <w:tcW w:w="3192" w:type="dxa"/>
          </w:tcPr>
          <w:p w:rsidR="003D55D1" w:rsidRPr="00E24A94" w:rsidRDefault="003D55D1" w:rsidP="00107DC1">
            <w:pPr>
              <w:pStyle w:val="NoSpacing"/>
              <w:rPr>
                <w:sz w:val="20"/>
                <w:szCs w:val="20"/>
              </w:rPr>
            </w:pPr>
            <w:r>
              <w:rPr>
                <w:sz w:val="20"/>
                <w:szCs w:val="20"/>
              </w:rPr>
              <w:t>Resident needs a structured environment in order to maintain an optimal level of functioning</w:t>
            </w:r>
          </w:p>
        </w:tc>
        <w:tc>
          <w:tcPr>
            <w:tcW w:w="3192" w:type="dxa"/>
          </w:tcPr>
          <w:p w:rsidR="003D55D1" w:rsidRPr="00E24A94" w:rsidRDefault="003D55D1" w:rsidP="003D55D1">
            <w:pPr>
              <w:pStyle w:val="NoSpacing"/>
              <w:rPr>
                <w:sz w:val="20"/>
                <w:szCs w:val="20"/>
              </w:rPr>
            </w:pPr>
            <w:r>
              <w:rPr>
                <w:sz w:val="20"/>
                <w:szCs w:val="20"/>
              </w:rPr>
              <w:t xml:space="preserve"> </w:t>
            </w:r>
          </w:p>
        </w:tc>
      </w:tr>
      <w:tr w:rsidR="003D55D1" w:rsidTr="00107DC1">
        <w:tc>
          <w:tcPr>
            <w:tcW w:w="3192" w:type="dxa"/>
          </w:tcPr>
          <w:p w:rsidR="003D55D1" w:rsidRPr="00E24A94" w:rsidRDefault="003D55D1" w:rsidP="00107DC1">
            <w:pPr>
              <w:pStyle w:val="NoSpacing"/>
              <w:rPr>
                <w:sz w:val="20"/>
                <w:szCs w:val="20"/>
              </w:rPr>
            </w:pPr>
            <w:r>
              <w:rPr>
                <w:sz w:val="20"/>
                <w:szCs w:val="20"/>
              </w:rPr>
              <w:t>Not currently intoxicated on substances</w:t>
            </w:r>
          </w:p>
        </w:tc>
        <w:tc>
          <w:tcPr>
            <w:tcW w:w="3192" w:type="dxa"/>
          </w:tcPr>
          <w:p w:rsidR="003D55D1" w:rsidRPr="00E24A94" w:rsidRDefault="003D55D1" w:rsidP="00107DC1">
            <w:pPr>
              <w:pStyle w:val="NoSpacing"/>
              <w:rPr>
                <w:sz w:val="20"/>
                <w:szCs w:val="20"/>
              </w:rPr>
            </w:pPr>
          </w:p>
        </w:tc>
        <w:tc>
          <w:tcPr>
            <w:tcW w:w="3192" w:type="dxa"/>
          </w:tcPr>
          <w:p w:rsidR="003D55D1" w:rsidRPr="00E24A94" w:rsidRDefault="003D55D1" w:rsidP="00107DC1">
            <w:pPr>
              <w:pStyle w:val="NoSpacing"/>
              <w:rPr>
                <w:sz w:val="20"/>
                <w:szCs w:val="20"/>
              </w:rPr>
            </w:pPr>
          </w:p>
        </w:tc>
      </w:tr>
      <w:tr w:rsidR="003D55D1" w:rsidTr="00107DC1">
        <w:tc>
          <w:tcPr>
            <w:tcW w:w="3192" w:type="dxa"/>
          </w:tcPr>
          <w:p w:rsidR="003D55D1" w:rsidRPr="00E24A94" w:rsidRDefault="003D55D1" w:rsidP="00107DC1">
            <w:pPr>
              <w:pStyle w:val="NoSpacing"/>
              <w:rPr>
                <w:sz w:val="20"/>
                <w:szCs w:val="20"/>
              </w:rPr>
            </w:pPr>
            <w:r>
              <w:rPr>
                <w:sz w:val="20"/>
                <w:szCs w:val="20"/>
              </w:rPr>
              <w:t>Expressing no suicidal or homicidal ideation or behaviors which would endanger self or others</w:t>
            </w:r>
          </w:p>
        </w:tc>
        <w:tc>
          <w:tcPr>
            <w:tcW w:w="3192" w:type="dxa"/>
          </w:tcPr>
          <w:p w:rsidR="003D55D1" w:rsidRPr="00E24A94" w:rsidRDefault="003D55D1" w:rsidP="00107DC1">
            <w:pPr>
              <w:pStyle w:val="NoSpacing"/>
              <w:rPr>
                <w:sz w:val="20"/>
                <w:szCs w:val="20"/>
              </w:rPr>
            </w:pPr>
          </w:p>
        </w:tc>
        <w:tc>
          <w:tcPr>
            <w:tcW w:w="3192" w:type="dxa"/>
          </w:tcPr>
          <w:p w:rsidR="003D55D1" w:rsidRPr="00E24A94" w:rsidRDefault="003D55D1" w:rsidP="00107DC1">
            <w:pPr>
              <w:pStyle w:val="NoSpacing"/>
              <w:rPr>
                <w:sz w:val="20"/>
                <w:szCs w:val="20"/>
              </w:rPr>
            </w:pPr>
          </w:p>
        </w:tc>
      </w:tr>
      <w:tr w:rsidR="003D55D1" w:rsidTr="00107DC1">
        <w:tc>
          <w:tcPr>
            <w:tcW w:w="3192" w:type="dxa"/>
          </w:tcPr>
          <w:p w:rsidR="003D55D1" w:rsidRPr="00CE5114" w:rsidRDefault="003D55D1" w:rsidP="003D55D1">
            <w:pPr>
              <w:pStyle w:val="NoSpacing"/>
              <w:rPr>
                <w:color w:val="FF0000"/>
                <w:sz w:val="20"/>
                <w:szCs w:val="20"/>
              </w:rPr>
            </w:pPr>
            <w:r>
              <w:rPr>
                <w:sz w:val="20"/>
                <w:szCs w:val="20"/>
              </w:rPr>
              <w:t xml:space="preserve">Has a mental illness that should not be so severe as </w:t>
            </w:r>
            <w:r w:rsidRPr="002D4E32">
              <w:rPr>
                <w:sz w:val="20"/>
                <w:szCs w:val="20"/>
              </w:rPr>
              <w:t>to interfere with maintaining a therapeutic milieu for the other residents</w:t>
            </w:r>
          </w:p>
        </w:tc>
        <w:tc>
          <w:tcPr>
            <w:tcW w:w="3192" w:type="dxa"/>
          </w:tcPr>
          <w:p w:rsidR="003D55D1" w:rsidRPr="00E24A94" w:rsidRDefault="003D55D1" w:rsidP="00107DC1">
            <w:pPr>
              <w:pStyle w:val="NoSpacing"/>
              <w:rPr>
                <w:sz w:val="20"/>
                <w:szCs w:val="20"/>
              </w:rPr>
            </w:pPr>
          </w:p>
        </w:tc>
        <w:tc>
          <w:tcPr>
            <w:tcW w:w="3192" w:type="dxa"/>
          </w:tcPr>
          <w:p w:rsidR="003D55D1" w:rsidRPr="00E24A94" w:rsidRDefault="003D55D1" w:rsidP="00107DC1">
            <w:pPr>
              <w:pStyle w:val="NoSpacing"/>
              <w:rPr>
                <w:sz w:val="20"/>
                <w:szCs w:val="20"/>
              </w:rPr>
            </w:pPr>
          </w:p>
        </w:tc>
      </w:tr>
      <w:tr w:rsidR="003D55D1" w:rsidTr="00107DC1">
        <w:tc>
          <w:tcPr>
            <w:tcW w:w="3192" w:type="dxa"/>
          </w:tcPr>
          <w:p w:rsidR="003D55D1" w:rsidRDefault="003D55D1" w:rsidP="00107DC1">
            <w:pPr>
              <w:pStyle w:val="NoSpacing"/>
              <w:rPr>
                <w:sz w:val="20"/>
                <w:szCs w:val="20"/>
              </w:rPr>
            </w:pPr>
            <w:r>
              <w:rPr>
                <w:sz w:val="20"/>
                <w:szCs w:val="20"/>
              </w:rPr>
              <w:t>Not be enrolled in a public or private educational system</w:t>
            </w:r>
          </w:p>
        </w:tc>
        <w:tc>
          <w:tcPr>
            <w:tcW w:w="3192" w:type="dxa"/>
          </w:tcPr>
          <w:p w:rsidR="003D55D1" w:rsidRPr="00E24A94" w:rsidRDefault="003D55D1" w:rsidP="00107DC1">
            <w:pPr>
              <w:pStyle w:val="NoSpacing"/>
              <w:rPr>
                <w:sz w:val="20"/>
                <w:szCs w:val="20"/>
              </w:rPr>
            </w:pPr>
          </w:p>
        </w:tc>
        <w:tc>
          <w:tcPr>
            <w:tcW w:w="3192" w:type="dxa"/>
          </w:tcPr>
          <w:p w:rsidR="003D55D1" w:rsidRPr="00E24A94" w:rsidRDefault="003D55D1" w:rsidP="00107DC1">
            <w:pPr>
              <w:pStyle w:val="NoSpacing"/>
              <w:rPr>
                <w:sz w:val="20"/>
                <w:szCs w:val="20"/>
              </w:rPr>
            </w:pPr>
          </w:p>
        </w:tc>
      </w:tr>
      <w:tr w:rsidR="003D55D1" w:rsidTr="00107DC1">
        <w:tc>
          <w:tcPr>
            <w:tcW w:w="3192" w:type="dxa"/>
          </w:tcPr>
          <w:p w:rsidR="003D55D1" w:rsidRPr="00CE5114" w:rsidRDefault="003D55D1" w:rsidP="00107DC1">
            <w:pPr>
              <w:pStyle w:val="NoSpacing"/>
              <w:rPr>
                <w:color w:val="FF0000"/>
                <w:sz w:val="20"/>
                <w:szCs w:val="20"/>
              </w:rPr>
            </w:pPr>
            <w:r>
              <w:rPr>
                <w:sz w:val="20"/>
                <w:szCs w:val="20"/>
              </w:rPr>
              <w:t>Physical condition must be manageable</w:t>
            </w:r>
            <w:r w:rsidR="00E167E6">
              <w:rPr>
                <w:sz w:val="20"/>
                <w:szCs w:val="20"/>
              </w:rPr>
              <w:t xml:space="preserve"> in the Sub Acute setting</w:t>
            </w:r>
          </w:p>
        </w:tc>
        <w:tc>
          <w:tcPr>
            <w:tcW w:w="3192" w:type="dxa"/>
          </w:tcPr>
          <w:p w:rsidR="003D55D1" w:rsidRPr="00E24A94" w:rsidRDefault="003D55D1" w:rsidP="00107DC1">
            <w:pPr>
              <w:pStyle w:val="NoSpacing"/>
              <w:rPr>
                <w:sz w:val="20"/>
                <w:szCs w:val="20"/>
              </w:rPr>
            </w:pPr>
          </w:p>
        </w:tc>
        <w:tc>
          <w:tcPr>
            <w:tcW w:w="3192" w:type="dxa"/>
          </w:tcPr>
          <w:p w:rsidR="003D55D1" w:rsidRPr="00E24A94" w:rsidRDefault="003D55D1" w:rsidP="00107DC1">
            <w:pPr>
              <w:pStyle w:val="NoSpacing"/>
              <w:rPr>
                <w:sz w:val="20"/>
                <w:szCs w:val="20"/>
              </w:rPr>
            </w:pPr>
          </w:p>
        </w:tc>
      </w:tr>
    </w:tbl>
    <w:p w:rsidR="003D55D1" w:rsidRDefault="003D55D1" w:rsidP="003D55D1">
      <w:pPr>
        <w:pStyle w:val="NoSpacing"/>
        <w:rPr>
          <w:b/>
          <w:u w:val="single"/>
        </w:rPr>
      </w:pPr>
    </w:p>
    <w:p w:rsidR="003D55D1" w:rsidRDefault="003D55D1" w:rsidP="003832D2">
      <w:pPr>
        <w:pStyle w:val="NoSpacing"/>
        <w:rPr>
          <w:b/>
          <w:u w:val="single"/>
        </w:rPr>
      </w:pPr>
    </w:p>
    <w:p w:rsidR="002D4E32" w:rsidRDefault="003D55D1" w:rsidP="003832D2">
      <w:pPr>
        <w:pStyle w:val="NoSpacing"/>
        <w:rPr>
          <w:b/>
          <w:u w:val="single"/>
        </w:rPr>
      </w:pPr>
      <w:r>
        <w:rPr>
          <w:b/>
          <w:u w:val="single"/>
        </w:rPr>
        <w:t>1.7</w:t>
      </w:r>
      <w:r>
        <w:rPr>
          <w:b/>
          <w:u w:val="single"/>
        </w:rPr>
        <w:tab/>
        <w:t>Assessment, Treatment Planning and Review</w:t>
      </w:r>
      <w:r w:rsidR="00372F34">
        <w:rPr>
          <w:b/>
          <w:u w:val="single"/>
        </w:rPr>
        <w:t>:</w:t>
      </w:r>
    </w:p>
    <w:p w:rsidR="003D55D1" w:rsidRDefault="003D55D1" w:rsidP="003832D2">
      <w:pPr>
        <w:pStyle w:val="NoSpacing"/>
      </w:pPr>
    </w:p>
    <w:p w:rsidR="003D55D1" w:rsidRDefault="003D55D1" w:rsidP="003832D2">
      <w:pPr>
        <w:pStyle w:val="NoSpacing"/>
      </w:pPr>
      <w:r>
        <w:t>A psychiatric assessment is completed prior to</w:t>
      </w:r>
      <w:r w:rsidR="0059730D">
        <w:t>, or immediately upon, admission.  A comprehensive initial assessment is available upon admission or completed upon admission.  A nutritional assessment is completed after admission.  ADL and case management assessments are completed following admission.  A physical health assessment, including medical history, physical examination and TB test, is completed prior to admission, whenever possible, and no later than three months after date of admission.  The health assessment is reviewed and signed off by a medical doctor.</w:t>
      </w:r>
    </w:p>
    <w:p w:rsidR="0059730D" w:rsidRDefault="0059730D" w:rsidP="003832D2">
      <w:pPr>
        <w:pStyle w:val="NoSpacing"/>
      </w:pPr>
    </w:p>
    <w:p w:rsidR="0059730D" w:rsidRDefault="0059730D" w:rsidP="003832D2">
      <w:pPr>
        <w:pStyle w:val="NoSpacing"/>
      </w:pPr>
      <w:r>
        <w:t xml:space="preserve">Person-centered, individualized treatment plans are developed by the treatment team with the consumer identifying specific problems to be addressed with specific goals, objectives and interventions related to each problem.  Treatment plans are reviewed and updated quarterly.  ADL assessments are updated annually and reviewed quarterly, or more </w:t>
      </w:r>
      <w:r>
        <w:lastRenderedPageBreak/>
        <w:t>frequently if needed.  Physical and dental exams are obtained at least annually, and nutritional</w:t>
      </w:r>
      <w:r w:rsidR="00372F34">
        <w:t xml:space="preserve"> assessments are reviewed on an as needed basis.</w:t>
      </w:r>
    </w:p>
    <w:p w:rsidR="00372F34" w:rsidRDefault="00372F34" w:rsidP="003832D2">
      <w:pPr>
        <w:pStyle w:val="NoSpacing"/>
      </w:pPr>
    </w:p>
    <w:p w:rsidR="00372F34" w:rsidRDefault="00372F34" w:rsidP="003832D2">
      <w:pPr>
        <w:pStyle w:val="NoSpacing"/>
        <w:rPr>
          <w:b/>
          <w:u w:val="single"/>
        </w:rPr>
      </w:pPr>
      <w:r>
        <w:rPr>
          <w:b/>
          <w:u w:val="single"/>
        </w:rPr>
        <w:t>1.8</w:t>
      </w:r>
      <w:r>
        <w:rPr>
          <w:b/>
          <w:u w:val="single"/>
        </w:rPr>
        <w:tab/>
        <w:t>Special Activities/Services:</w:t>
      </w:r>
    </w:p>
    <w:p w:rsidR="00372F34" w:rsidRDefault="00372F34" w:rsidP="003832D2">
      <w:pPr>
        <w:pStyle w:val="NoSpacing"/>
        <w:rPr>
          <w:b/>
          <w:u w:val="single"/>
        </w:rPr>
      </w:pPr>
    </w:p>
    <w:p w:rsidR="00372F34" w:rsidRDefault="00372F34" w:rsidP="003832D2">
      <w:pPr>
        <w:pStyle w:val="NoSpacing"/>
      </w:pPr>
      <w:r>
        <w:t>The following services are provided by Hamilton Center, Inc. and utilized by the consumer on an as needed basis:</w:t>
      </w:r>
      <w:r w:rsidR="00A808F2">
        <w:t xml:space="preserve">  psychological testing, nursing services, recreational therapy and nutritional assistance.  Other special services utilized within the community include:  medical and dental services, other medical specialists, vocational rehabilitation, adult education, and therapeutic services such as occupational therapy, physical therapy, podiatry, and optical services.  Other community services accessed include Alcoholics Anonymous (AA)</w:t>
      </w:r>
      <w:r w:rsidR="007F4C4C">
        <w:t>,</w:t>
      </w:r>
      <w:r w:rsidR="00A808F2">
        <w:t xml:space="preserve"> Narcotics Anonymous (NA)</w:t>
      </w:r>
      <w:r w:rsidR="007F4C4C">
        <w:t>, and National Alliance on Mental Illness (NAMI)</w:t>
      </w:r>
      <w:r w:rsidR="00A808F2">
        <w:t xml:space="preserve"> groups.</w:t>
      </w:r>
    </w:p>
    <w:p w:rsidR="00A808F2" w:rsidRDefault="00A808F2" w:rsidP="003832D2">
      <w:pPr>
        <w:pStyle w:val="NoSpacing"/>
      </w:pPr>
    </w:p>
    <w:p w:rsidR="00A808F2" w:rsidRDefault="00A808F2" w:rsidP="003832D2">
      <w:pPr>
        <w:pStyle w:val="NoSpacing"/>
        <w:rPr>
          <w:b/>
          <w:u w:val="single"/>
        </w:rPr>
      </w:pPr>
      <w:r>
        <w:rPr>
          <w:b/>
          <w:u w:val="single"/>
        </w:rPr>
        <w:t>1.9</w:t>
      </w:r>
      <w:r>
        <w:rPr>
          <w:b/>
          <w:u w:val="single"/>
        </w:rPr>
        <w:tab/>
      </w:r>
      <w:r w:rsidR="00A642A9">
        <w:rPr>
          <w:b/>
          <w:u w:val="single"/>
        </w:rPr>
        <w:t>Treatment Modalities/Interventions:</w:t>
      </w:r>
    </w:p>
    <w:p w:rsidR="00A642A9" w:rsidRDefault="00A642A9" w:rsidP="003832D2">
      <w:pPr>
        <w:pStyle w:val="NoSpacing"/>
        <w:rPr>
          <w:b/>
          <w:u w:val="single"/>
        </w:rPr>
      </w:pPr>
    </w:p>
    <w:p w:rsidR="00A642A9" w:rsidRDefault="00A642A9" w:rsidP="003832D2">
      <w:pPr>
        <w:pStyle w:val="NoSpacing"/>
      </w:pPr>
      <w:r>
        <w:t xml:space="preserve">Group and/or </w:t>
      </w:r>
      <w:r w:rsidR="007F4C4C">
        <w:t>I</w:t>
      </w:r>
      <w:r>
        <w:t xml:space="preserve">ndividual </w:t>
      </w:r>
      <w:r w:rsidR="007F4C4C">
        <w:t>Skills T</w:t>
      </w:r>
      <w:r>
        <w:t>raining in Activities of Daily Living</w:t>
      </w:r>
    </w:p>
    <w:p w:rsidR="00A642A9" w:rsidRDefault="00A642A9" w:rsidP="003832D2">
      <w:pPr>
        <w:pStyle w:val="NoSpacing"/>
      </w:pPr>
      <w:r>
        <w:t xml:space="preserve">Group and/or </w:t>
      </w:r>
      <w:r w:rsidR="007F4C4C">
        <w:t>I</w:t>
      </w:r>
      <w:r>
        <w:t xml:space="preserve">ndividual </w:t>
      </w:r>
      <w:r w:rsidR="007F4C4C">
        <w:t>P</w:t>
      </w:r>
      <w:r>
        <w:t xml:space="preserve">sychotherapy or </w:t>
      </w:r>
      <w:r w:rsidR="007F4C4C">
        <w:t>C</w:t>
      </w:r>
      <w:r>
        <w:t>ounseling</w:t>
      </w:r>
    </w:p>
    <w:p w:rsidR="007F4C4C" w:rsidRDefault="007F4C4C" w:rsidP="003832D2">
      <w:pPr>
        <w:pStyle w:val="NoSpacing"/>
      </w:pPr>
      <w:r>
        <w:t>Group and/or Individual Medication Training and Support</w:t>
      </w:r>
    </w:p>
    <w:p w:rsidR="00A642A9" w:rsidRDefault="00A642A9" w:rsidP="003832D2">
      <w:pPr>
        <w:pStyle w:val="NoSpacing"/>
      </w:pPr>
      <w:r>
        <w:t>Case Management</w:t>
      </w:r>
    </w:p>
    <w:p w:rsidR="00A642A9" w:rsidRDefault="00A642A9" w:rsidP="003832D2">
      <w:pPr>
        <w:pStyle w:val="NoSpacing"/>
      </w:pPr>
      <w:r>
        <w:t xml:space="preserve">Addictions </w:t>
      </w:r>
      <w:r w:rsidR="007F4C4C">
        <w:t>T</w:t>
      </w:r>
      <w:r>
        <w:t>reatment</w:t>
      </w:r>
    </w:p>
    <w:p w:rsidR="00A642A9" w:rsidRDefault="00A642A9" w:rsidP="003832D2">
      <w:pPr>
        <w:pStyle w:val="NoSpacing"/>
      </w:pPr>
      <w:r>
        <w:t xml:space="preserve">Emergency </w:t>
      </w:r>
      <w:r w:rsidR="007F4C4C">
        <w:t>E</w:t>
      </w:r>
      <w:r>
        <w:t xml:space="preserve">vacuation </w:t>
      </w:r>
      <w:r w:rsidR="007F4C4C">
        <w:t>I</w:t>
      </w:r>
      <w:r>
        <w:t>nstructions</w:t>
      </w:r>
    </w:p>
    <w:p w:rsidR="00A642A9" w:rsidRDefault="00A642A9" w:rsidP="003832D2">
      <w:pPr>
        <w:pStyle w:val="NoSpacing"/>
      </w:pPr>
      <w:r>
        <w:t xml:space="preserve">Crisis </w:t>
      </w:r>
      <w:r w:rsidR="007F4C4C">
        <w:t>M</w:t>
      </w:r>
      <w:r>
        <w:t>anagement</w:t>
      </w:r>
    </w:p>
    <w:p w:rsidR="00A642A9" w:rsidRDefault="00A642A9" w:rsidP="003832D2">
      <w:pPr>
        <w:pStyle w:val="NoSpacing"/>
      </w:pPr>
    </w:p>
    <w:p w:rsidR="00A642A9" w:rsidRDefault="00A642A9" w:rsidP="003832D2">
      <w:pPr>
        <w:pStyle w:val="NoSpacing"/>
        <w:rPr>
          <w:b/>
          <w:u w:val="single"/>
        </w:rPr>
      </w:pPr>
      <w:r>
        <w:rPr>
          <w:b/>
          <w:u w:val="single"/>
        </w:rPr>
        <w:t>1.10</w:t>
      </w:r>
      <w:r>
        <w:rPr>
          <w:b/>
          <w:u w:val="single"/>
        </w:rPr>
        <w:tab/>
        <w:t>Staffing</w:t>
      </w:r>
    </w:p>
    <w:p w:rsidR="00A642A9" w:rsidRDefault="00A642A9" w:rsidP="003832D2">
      <w:pPr>
        <w:pStyle w:val="NoSpacing"/>
        <w:rPr>
          <w:b/>
          <w:u w:val="single"/>
        </w:rPr>
      </w:pPr>
    </w:p>
    <w:p w:rsidR="00A642A9" w:rsidRDefault="007F4C4C" w:rsidP="003832D2">
      <w:pPr>
        <w:pStyle w:val="NoSpacing"/>
      </w:pPr>
      <w:r>
        <w:t>Mental Health</w:t>
      </w:r>
      <w:r w:rsidR="00A642A9">
        <w:t xml:space="preserve"> </w:t>
      </w:r>
      <w:r>
        <w:t>T</w:t>
      </w:r>
      <w:r w:rsidR="00A642A9">
        <w:t>echnicians</w:t>
      </w:r>
    </w:p>
    <w:p w:rsidR="007F4C4C" w:rsidRDefault="007F4C4C" w:rsidP="003832D2">
      <w:pPr>
        <w:pStyle w:val="NoSpacing"/>
      </w:pPr>
      <w:r>
        <w:t>Patient Care Specialists</w:t>
      </w:r>
    </w:p>
    <w:p w:rsidR="007F4C4C" w:rsidRDefault="00A642A9" w:rsidP="003832D2">
      <w:pPr>
        <w:pStyle w:val="NoSpacing"/>
      </w:pPr>
      <w:r>
        <w:t>Ca</w:t>
      </w:r>
      <w:r w:rsidR="007F4C4C">
        <w:t>r</w:t>
      </w:r>
      <w:r>
        <w:t xml:space="preserve">e </w:t>
      </w:r>
      <w:r w:rsidR="007F4C4C">
        <w:t>M</w:t>
      </w:r>
      <w:r>
        <w:t>anagers</w:t>
      </w:r>
    </w:p>
    <w:p w:rsidR="007F4C4C" w:rsidRDefault="007F4C4C" w:rsidP="003832D2">
      <w:pPr>
        <w:pStyle w:val="NoSpacing"/>
      </w:pPr>
      <w:r>
        <w:t>Transition Specialist</w:t>
      </w:r>
    </w:p>
    <w:p w:rsidR="00A642A9" w:rsidRDefault="00A642A9" w:rsidP="003832D2">
      <w:pPr>
        <w:pStyle w:val="NoSpacing"/>
      </w:pPr>
      <w:r>
        <w:t>Therapists</w:t>
      </w:r>
    </w:p>
    <w:p w:rsidR="00A642A9" w:rsidRDefault="00A642A9" w:rsidP="003832D2">
      <w:pPr>
        <w:pStyle w:val="NoSpacing"/>
      </w:pPr>
      <w:r>
        <w:t>Nurses</w:t>
      </w:r>
    </w:p>
    <w:p w:rsidR="008F79B6" w:rsidRPr="008F79B6" w:rsidRDefault="00A642A9" w:rsidP="002D5863">
      <w:pPr>
        <w:pStyle w:val="NoSpacing"/>
      </w:pPr>
      <w:r>
        <w:t xml:space="preserve">Program </w:t>
      </w:r>
      <w:r w:rsidR="007F4C4C">
        <w:t>S</w:t>
      </w:r>
      <w:r>
        <w:t>upervisors</w:t>
      </w:r>
    </w:p>
    <w:sectPr w:rsidR="008F79B6" w:rsidRPr="008F79B6" w:rsidSect="00F717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9B6"/>
    <w:rsid w:val="002D4E32"/>
    <w:rsid w:val="002D5863"/>
    <w:rsid w:val="002F1FB2"/>
    <w:rsid w:val="00372F34"/>
    <w:rsid w:val="003832D2"/>
    <w:rsid w:val="003D55D1"/>
    <w:rsid w:val="00423E0E"/>
    <w:rsid w:val="00582BB2"/>
    <w:rsid w:val="0059730D"/>
    <w:rsid w:val="007F4C4C"/>
    <w:rsid w:val="008F79B6"/>
    <w:rsid w:val="00A30646"/>
    <w:rsid w:val="00A642A9"/>
    <w:rsid w:val="00A808F2"/>
    <w:rsid w:val="00CE5114"/>
    <w:rsid w:val="00D91BD9"/>
    <w:rsid w:val="00E167E6"/>
    <w:rsid w:val="00E24A94"/>
    <w:rsid w:val="00EA2CCA"/>
    <w:rsid w:val="00F717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44A6FB-01EB-42CD-A7D6-585B163B9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17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F79B6"/>
    <w:pPr>
      <w:spacing w:after="0" w:line="240" w:lineRule="auto"/>
    </w:pPr>
  </w:style>
  <w:style w:type="table" w:styleId="TableGrid">
    <w:name w:val="Table Grid"/>
    <w:basedOn w:val="TableNormal"/>
    <w:uiPriority w:val="59"/>
    <w:rsid w:val="003832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306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64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documentManagement>
</p:properties>
</file>

<file path=customXml/itemProps1.xml><?xml version="1.0" encoding="utf-8"?>
<ds:datastoreItem xmlns:ds="http://schemas.openxmlformats.org/officeDocument/2006/customXml" ds:itemID="{0E8445C5-9CCA-4D13-B49E-2CAB2D4EA7A3}"/>
</file>

<file path=customXml/itemProps2.xml><?xml version="1.0" encoding="utf-8"?>
<ds:datastoreItem xmlns:ds="http://schemas.openxmlformats.org/officeDocument/2006/customXml" ds:itemID="{07B3554F-F99C-4E1C-AE6E-D17906550AEA}"/>
</file>

<file path=customXml/itemProps3.xml><?xml version="1.0" encoding="utf-8"?>
<ds:datastoreItem xmlns:ds="http://schemas.openxmlformats.org/officeDocument/2006/customXml" ds:itemID="{6BC4AB00-6887-40CA-AEF0-088260FD0343}"/>
</file>

<file path=docProps/app.xml><?xml version="1.0" encoding="utf-8"?>
<Properties xmlns="http://schemas.openxmlformats.org/officeDocument/2006/extended-properties" xmlns:vt="http://schemas.openxmlformats.org/officeDocument/2006/docPropsVTypes">
  <Template>4D83C6D2</Template>
  <TotalTime>0</TotalTime>
  <Pages>4</Pages>
  <Words>1037</Words>
  <Characters>5912</Characters>
  <Application>Microsoft Office Word</Application>
  <DocSecurity>4</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Hamilton Center, Inc.</Company>
  <LinksUpToDate>false</LinksUpToDate>
  <CharactersWithSpaces>6936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ART FULLER</cp:lastModifiedBy>
  <cp:revision>2</cp:revision>
  <cp:lastPrinted>2014-07-06T14:17:00Z</cp:lastPrinted>
  <dcterms:created xsi:type="dcterms:W3CDTF">2020-07-08T18:35:00Z</dcterms:created>
  <dcterms:modified xsi:type="dcterms:W3CDTF">2020-07-08T18:35:00Z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0x010100B52442BBFB35BD429C7560DE68003EE2</vt:lpwstr>
  </property>
  <property fmtid="{D5CDD505-2E9C-101B-9397-08002B2CF9AE}" pid="3" name="Order">
    <vt:r8>222800</vt:r8>
  </property>
</Properties>
</file>